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595959"/>
          <w:sz w:val="20"/>
          <w:szCs w:val="20"/>
        </w:rPr>
        <w:t xml:space="preserve">CLEAR RIVER SCHOOL DISTRICT</w:t>
      </w:r>
    </w:p>
    <w:p>
      <w:pPr>
        <w:spacing w:after="200"/>
      </w:pPr>
      <w:r>
        <w:rPr>
          <w:color w:val="595959"/>
          <w:sz w:val="20"/>
          <w:szCs w:val="20"/>
        </w:rPr>
        <w:t xml:space="preserve">Board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Policy Code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GBA/GBAA</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Classification</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Certificated and Classified Personnel</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Descriptor Term</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COMPENSATION, PAYROLL, AND CONTRACTS</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Adopted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July 9, 2012</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Last Revised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June 10, 2025</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Effective Date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July 1, 2025</w:t>
            </w:r>
          </w:p>
        </w:tc>
      </w:tr>
    </w:tbl>
    <w:p>
      <w:pPr>
        <w:spacing w:after="220" w:before="220"/>
      </w:pPr>
      <w:r>
        <w:t xml:space="preserve">The Board shall annually adopt a salary schedule for services rendered by certificated and classified personnel. Conditions of employment shall meet all requirements of the District and applicable Oregon law. Contracts shall be in writing and signed in duplicate by the employee and by the Superintendent on behalf of the Board. This policy governs salary placement, contract issuance, pay periods, standard payroll deductions, and related payroll administration.</w:t>
      </w:r>
    </w:p>
    <w:p>
      <w:pPr>
        <w:pStyle w:val="Heading2"/>
      </w:pPr>
      <w:r>
        <w:t xml:space="preserve">I. Salary Schedule</w:t>
      </w:r>
    </w:p>
    <w:p>
      <w:pPr>
        <w:spacing w:after="160"/>
      </w:pPr>
      <w:r>
        <w:t xml:space="preserve">Placement on the salary schedule is determined by verified education level (degree and additional credit hours or endorsements held) and years of creditable experience, expressed as a step. The Board adopts the salary schedule annually by resolution. The current schedule is maintained by Human Resources and published to staff at the start of each contract year.</w:t>
      </w:r>
    </w:p>
    <w:p>
      <w:pPr>
        <w:pStyle w:val="Heading2"/>
      </w:pPr>
      <w:r>
        <w:t xml:space="preserve">II. Contracts</w:t>
      </w:r>
    </w:p>
    <w:p>
      <w:pPr>
        <w:spacing w:after="160"/>
      </w:pPr>
      <w:r>
        <w:t xml:space="preserve">By the date specified in the District payroll calendar, the District shall tender a new contract for the ensuing school year to each certificated employee who was on the payroll at the beginning of the current school year and who has not resigned or been terminated, or shall provide written notice of non-renewal. Contracts for classified staff shall be issued in accordance with applicable Board policy and any negotiated agreement.</w:t>
      </w:r>
    </w:p>
    <w:p>
      <w:pPr>
        <w:pStyle w:val="Heading2"/>
      </w:pPr>
      <w:r>
        <w:t xml:space="preserve">III. Pay Periods and Pay Dates</w:t>
      </w:r>
    </w:p>
    <w:p>
      <w:pPr>
        <w:spacing w:after="160"/>
      </w:pPr>
      <w:r>
        <w:t xml:space="preserve">Employees are paid on a semi-monthly basis in accordance with the payroll calendar adopted annually by the Board. Pay dates may be adjusted around holidays or the start and end of the contract year; the current calendar governs in all cases and supersedes any prior year’s schedule.</w:t>
      </w:r>
    </w:p>
    <w:p>
      <w:pPr>
        <w:pStyle w:val="Heading2"/>
      </w:pPr>
      <w:r>
        <w:t xml:space="preserve">IV. Standard Payroll Deductions</w:t>
      </w:r>
    </w:p>
    <w:p>
      <w:pPr>
        <w:pStyle w:val="Heading3"/>
      </w:pPr>
      <w:r>
        <w:t xml:space="preserve">Federal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Deduction</w:t>
            </w:r>
          </w:p>
        </w:tc>
        <w:tc>
          <w:tcPr>
            <w:tcW w:type="dxa" w:w="16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Code</w:t>
            </w:r>
          </w:p>
        </w:tc>
        <w:tc>
          <w:tcPr>
            <w:tcW w:type="dxa" w:w="536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Basis</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Social Security</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FICA</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Federal payroll tax funding Social Security, withheld at the rate set by federal law.</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Medicare</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MEDFICA</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Federal payroll tax funding Medicare, withheld at the rate set by federal law.</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Federal income tax</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FED W/H</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Withheld according to the employee’s Form W-4 on file with Human Resources.</w:t>
            </w:r>
          </w:p>
        </w:tc>
      </w:tr>
    </w:tbl>
    <w:p>
      <w:pPr>
        <w:spacing w:before="200"/>
      </w:pPr>
    </w:p>
    <w:p>
      <w:pPr>
        <w:pStyle w:val="Heading3"/>
      </w:pPr>
      <w:r>
        <w:t xml:space="preserve">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Deduction</w:t>
            </w:r>
          </w:p>
        </w:tc>
        <w:tc>
          <w:tcPr>
            <w:tcW w:type="dxa" w:w="16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Code</w:t>
            </w:r>
          </w:p>
        </w:tc>
        <w:tc>
          <w:tcPr>
            <w:tcW w:type="dxa" w:w="536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Basis</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Oregon income tax</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OR W/H</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Withheld according to the employee’s Form OR-W-4 on file with Human Resources.</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Statewide Transit Tax</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OR STT</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Withheld from all wages at one-tenth of one percent (0.1%) as required by Oregon law. Not subject to employee exemption.</w:t>
            </w:r>
          </w:p>
        </w:tc>
      </w:tr>
      <w:tr>
        <w:tc>
          <w:tcPr>
            <w:tcW w:type="dxa" w:w="24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b/>
                <w:bCs/>
                <w:sz w:val="19"/>
                <w:szCs w:val="19"/>
              </w:rPr>
              <w:t xml:space="preserve">PERS/OPSRP</w:t>
            </w:r>
          </w:p>
        </w:tc>
        <w:tc>
          <w:tcPr>
            <w:tcW w:type="dxa" w:w="160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PERS</w:t>
            </w:r>
          </w:p>
        </w:tc>
        <w:tc>
          <w:tcPr>
            <w:tcW w:type="dxa" w:w="53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Public Employees Retirement System contribution. Rate and employee/employer share are determined by the employee’s PERS membership tier and position classification.</w:t>
            </w:r>
          </w:p>
        </w:tc>
      </w:tr>
    </w:tbl>
    <w:p>
      <w:pPr>
        <w:spacing w:after="200" w:before="200"/>
      </w:pPr>
      <w:r>
        <w:t xml:space="preserve">Additional deductions may apply based on an employee’s benefit elections, supplemental retirement contributions, or garnishments, in accordance with plan documents and applicable law.</w:t>
      </w:r>
    </w:p>
    <w:p>
      <w:pPr>
        <w:pStyle w:val="Heading2"/>
      </w:pPr>
      <w:r>
        <w:t xml:space="preserve">V. Overtime — Non-Exempt Employees</w:t>
      </w:r>
    </w:p>
    <w:p>
      <w:pPr>
        <w:spacing w:after="160"/>
      </w:pPr>
      <w:r>
        <w:t xml:space="preserve">Non-exempt classified employees shall be compensated at one and one-half (1.5) times their regular rate of pay for hours worked in excess of forty (40) in a single workweek, in accordance with the Fair Labor Standards Act. Non-exempt employees are required to accurately record all hours worked using the District’s approved timekeeping system. Overtime must be authorized in advance by the employee’s supervisor.</w:t>
      </w:r>
    </w:p>
    <w:p>
      <w:pPr>
        <w:pStyle w:val="Heading2"/>
      </w:pPr>
      <w:r>
        <w:t xml:space="preserve">VI. Direct Deposit</w:t>
      </w:r>
    </w:p>
    <w:p>
      <w:pPr>
        <w:spacing w:after="160"/>
      </w:pPr>
      <w:r>
        <w:t xml:space="preserve">Employees shall enroll in direct deposit as the standard method of payment. Enrollment or changes require a signed direct deposit authorization form submitted to Human Resources along with a voided check or bank letter verifying routing and account information. Changes take effect no sooner than the following pay period.</w:t>
      </w:r>
    </w:p>
    <w:p>
      <w:pPr>
        <w:pStyle w:val="Heading2"/>
      </w:pPr>
      <w:r>
        <w:t xml:space="preserve">VII. Payroll Corrections</w:t>
      </w:r>
    </w:p>
    <w:p>
      <w:pPr>
        <w:spacing w:after="160"/>
      </w:pPr>
      <w:r>
        <w:t xml:space="preserve">An employee who believes a payroll error has occurred shall report the discrepancy to Payroll in writing as soon as possible. Payroll shall investigate and, where an error is confirmed, issue a correction in the next available pay cycle or by off-cycle payment where the amount and circumstances warrant it, at the discretion of the Payroll Director.</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BD150" w:sz="6" w:space="4"/>
      </w:pBdr>
      <w:tabs>
        <w:tab w:val="right" w:pos="9026"/>
      </w:tabs>
    </w:pPr>
    <w:r>
      <w:drawing>
        <wp:inline distT="0" distB="0" distL="0" distR="0">
          <wp:extent cx="190500" cy="190500"/>
          <wp:effectExtent t="0" r="0" b="0" l="0"/>
          <wp:docPr id="1" name="CCCG logo" descr="Clear Concepts Consulting Group logo" title="C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 cy="190500"/>
                  </a:xfrm>
                  <a:prstGeom prst="rect">
                    <a:avLst/>
                  </a:prstGeom>
                </pic:spPr>
              </pic:pic>
            </a:graphicData>
          </a:graphic>
        </wp:inline>
      </w:drawing>
    </w:r>
    <w:r>
      <w:rPr>
        <w:b/>
        <w:bCs/>
        <w:color w:val="004F6E"/>
        <w:sz w:val="16"/>
        <w:szCs w:val="16"/>
      </w:rPr>
      <w:t xml:space="preserve">  Clear Concepts Consulting Group  |  OSPA Workshop 2026</w:t>
    </w:r>
    <w:r>
      <w:rPr>
        <w:color w:val="595959"/>
        <w:sz w:val="16"/>
        <w:szCs w:val="16"/>
      </w:rPr>
      <w:t xml:space="preserve">	Sandbox source document — for OSPA workshop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0" w:hanging="260"/>
      </w:pPr>
    </w:lvl>
  </w:abstractNum>
  <w:abstractNum w:abstractNumId="3" w15:restartNumberingAfterBreak="0">
    <w:multiLevelType w:val="hybridMultilevel"/>
    <w:lvl w:ilvl="0" w15:tentative="1">
      <w:start w:val="1"/>
      <w:numFmt w:val="decimal"/>
      <w:lvlText w:val="%1."/>
      <w:lvlJc w:val="left"/>
      <w:pPr>
        <w:ind w:left="45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ABD150" w:sz="8" w:space="4"/>
      </w:pBdr>
      <w:spacing w:after="160" w:before="120"/>
      <w:outlineLvl w:val="0"/>
    </w:pPr>
    <w:rPr>
      <w:rFonts w:ascii="Georgia" w:cs="Georgia" w:eastAsia="Georgia" w:hAnsi="Georgia"/>
      <w:b/>
      <w:bCs/>
      <w:color w:val="004F6E"/>
      <w:sz w:val="34"/>
      <w:szCs w:val="34"/>
    </w:rPr>
  </w:style>
  <w:style w:type="paragraph" w:styleId="Heading2">
    <w:name w:val="Heading 2"/>
    <w:basedOn w:val="Normal"/>
    <w:next w:val="Normal"/>
    <w:qFormat/>
    <w:pPr>
      <w:spacing w:after="120" w:before="220"/>
      <w:outlineLvl w:val="1"/>
    </w:pPr>
    <w:rPr>
      <w:rFonts w:ascii="Georgia" w:cs="Georgia" w:eastAsia="Georgia" w:hAnsi="Georgia"/>
      <w:b/>
      <w:bCs/>
      <w:color w:val="004F6E"/>
      <w:sz w:val="26"/>
      <w:szCs w:val="26"/>
    </w:rPr>
  </w:style>
  <w:style w:type="paragraph" w:styleId="Heading3">
    <w:name w:val="Heading 3"/>
    <w:basedOn w:val="Normal"/>
    <w:next w:val="Normal"/>
    <w:qFormat/>
    <w:pPr>
      <w:spacing w:after="80" w:before="160"/>
      <w:outlineLvl w:val="2"/>
    </w:pPr>
    <w:rPr>
      <w:rFonts w:ascii="Georgia" w:cs="Georgia" w:eastAsia="Georgia" w:hAnsi="Georgia"/>
      <w:b/>
      <w:bCs/>
      <w:color w:val="8AAA3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5e95ab6d7a6bdd22a532c810ce8627d25d168bcb.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2026-07-02T12:39:41.200Z</dcterms:created>
  <dcterms:modified xsi:type="dcterms:W3CDTF">2026-07-02T12:39:41.201Z</dcterms:modified>
</cp:coreProperties>
</file>

<file path=docProps/custom.xml><?xml version="1.0" encoding="utf-8"?>
<Properties xmlns="http://schemas.openxmlformats.org/officeDocument/2006/custom-properties" xmlns:vt="http://schemas.openxmlformats.org/officeDocument/2006/docPropsVTypes"/>
</file>